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719AF" w:rsidRDefault="008719AF" w:rsidP="00387B36">
      <w:pPr>
        <w:rPr>
          <w:rFonts w:ascii="½Å¸íÁ¶" w:hAnsi="½Å¸íÁ¶"/>
          <w:b/>
          <w:bCs/>
          <w:sz w:val="28"/>
          <w:szCs w:val="28"/>
        </w:rPr>
      </w:pPr>
      <w:bookmarkStart w:id="0" w:name="_GoBack"/>
      <w:bookmarkEnd w:id="0"/>
      <w:r w:rsidRPr="008719AF">
        <w:rPr>
          <w:rFonts w:ascii="½Å¸íÁ¶" w:hAnsi="½Å¸íÁ¶"/>
          <w:b/>
          <w:bCs/>
          <w:sz w:val="28"/>
          <w:szCs w:val="28"/>
        </w:rPr>
        <w:t>Explaining two-peak (peak-shoulder) structure of tunneling</w:t>
      </w:r>
    </w:p>
    <w:p w:rsidR="00387B36" w:rsidRPr="00387B36" w:rsidRDefault="008719AF" w:rsidP="00387B36">
      <w:pPr>
        <w:rPr>
          <w:rFonts w:ascii="½Å¸íÁ¶" w:hAnsi="½Å¸íÁ¶"/>
          <w:b/>
          <w:bCs/>
          <w:sz w:val="28"/>
          <w:szCs w:val="28"/>
        </w:rPr>
      </w:pPr>
      <w:proofErr w:type="gramStart"/>
      <w:r w:rsidRPr="008719AF">
        <w:rPr>
          <w:rFonts w:ascii="½Å¸íÁ¶" w:hAnsi="½Å¸íÁ¶"/>
          <w:b/>
          <w:bCs/>
          <w:sz w:val="28"/>
          <w:szCs w:val="28"/>
        </w:rPr>
        <w:t>conductance</w:t>
      </w:r>
      <w:proofErr w:type="gramEnd"/>
      <w:r w:rsidRPr="008719AF">
        <w:rPr>
          <w:rFonts w:ascii="½Å¸íÁ¶" w:hAnsi="½Å¸íÁ¶"/>
          <w:b/>
          <w:bCs/>
          <w:sz w:val="28"/>
          <w:szCs w:val="28"/>
        </w:rPr>
        <w:t xml:space="preserve"> in </w:t>
      </w:r>
      <w:proofErr w:type="spellStart"/>
      <w:r w:rsidRPr="008719AF">
        <w:rPr>
          <w:rFonts w:ascii="½Å¸íÁ¶" w:hAnsi="½Å¸íÁ¶"/>
          <w:b/>
          <w:bCs/>
          <w:sz w:val="28"/>
          <w:szCs w:val="28"/>
        </w:rPr>
        <w:t>FeSe</w:t>
      </w:r>
      <w:proofErr w:type="spellEnd"/>
      <w:r w:rsidRPr="008719AF">
        <w:rPr>
          <w:rFonts w:ascii="½Å¸íÁ¶" w:hAnsi="½Å¸íÁ¶"/>
          <w:b/>
          <w:bCs/>
          <w:sz w:val="28"/>
          <w:szCs w:val="28"/>
        </w:rPr>
        <w:t>/STO (</w:t>
      </w:r>
      <w:proofErr w:type="spellStart"/>
      <w:r w:rsidRPr="008719AF">
        <w:rPr>
          <w:rFonts w:ascii="½Å¸íÁ¶" w:hAnsi="½Å¸íÁ¶"/>
          <w:b/>
          <w:bCs/>
          <w:sz w:val="28"/>
          <w:szCs w:val="28"/>
        </w:rPr>
        <w:t>LiFeAs</w:t>
      </w:r>
      <w:proofErr w:type="spellEnd"/>
      <w:r w:rsidRPr="008719AF">
        <w:rPr>
          <w:rFonts w:ascii="½Å¸íÁ¶" w:hAnsi="½Å¸íÁ¶"/>
          <w:b/>
          <w:bCs/>
          <w:sz w:val="28"/>
          <w:szCs w:val="28"/>
        </w:rPr>
        <w:t>, Bi2212) superconductor</w:t>
      </w:r>
    </w:p>
    <w:p w:rsidR="00387B36" w:rsidRDefault="00387B36">
      <w:pPr>
        <w:jc w:val="center"/>
        <w:rPr>
          <w:rFonts w:ascii="½Å¸íÁ¶" w:hAnsi="½Å¸íÁ¶"/>
          <w:b/>
          <w:bCs/>
          <w:sz w:val="28"/>
          <w:szCs w:val="28"/>
        </w:rPr>
      </w:pPr>
    </w:p>
    <w:p w:rsidR="00B41740" w:rsidRDefault="00B41740" w:rsidP="00387B36">
      <w:pPr>
        <w:widowControl/>
        <w:wordWrap/>
        <w:adjustRightInd w:val="0"/>
        <w:jc w:val="left"/>
        <w:rPr>
          <w:rFonts w:ascii="CMBX12" w:hAnsi="CMBX12" w:cs="CMBX12"/>
          <w:kern w:val="0"/>
          <w:sz w:val="24"/>
        </w:rPr>
      </w:pPr>
      <w:proofErr w:type="spellStart"/>
      <w:r>
        <w:rPr>
          <w:rFonts w:ascii="CMBX12" w:hAnsi="CMBX12" w:cs="CMBX12" w:hint="eastAsia"/>
          <w:kern w:val="0"/>
          <w:sz w:val="24"/>
        </w:rPr>
        <w:t>Jongbae</w:t>
      </w:r>
      <w:proofErr w:type="spellEnd"/>
      <w:r>
        <w:rPr>
          <w:rFonts w:ascii="CMBX12" w:hAnsi="CMBX12" w:cs="CMBX12" w:hint="eastAsia"/>
          <w:kern w:val="0"/>
          <w:sz w:val="24"/>
        </w:rPr>
        <w:t xml:space="preserve"> Hong </w:t>
      </w:r>
    </w:p>
    <w:p w:rsidR="00B41740" w:rsidRDefault="00B41740" w:rsidP="00387B36">
      <w:pPr>
        <w:widowControl/>
        <w:wordWrap/>
        <w:adjustRightInd w:val="0"/>
        <w:jc w:val="left"/>
        <w:rPr>
          <w:rFonts w:ascii="CMBX12" w:hAnsi="CMBX12" w:cs="CMBX12"/>
          <w:kern w:val="0"/>
          <w:sz w:val="24"/>
        </w:rPr>
      </w:pPr>
      <w:r>
        <w:rPr>
          <w:rFonts w:ascii="CMBX12" w:hAnsi="CMBX12" w:cs="CMBX12" w:hint="eastAsia"/>
          <w:kern w:val="0"/>
          <w:sz w:val="24"/>
        </w:rPr>
        <w:t>IBS-</w:t>
      </w:r>
      <w:r w:rsidRPr="00B41740">
        <w:rPr>
          <w:rFonts w:ascii="CMBX12" w:hAnsi="CMBX12" w:cs="CMBX12" w:hint="eastAsia"/>
          <w:kern w:val="0"/>
          <w:sz w:val="24"/>
        </w:rPr>
        <w:t xml:space="preserve"> </w:t>
      </w:r>
      <w:r>
        <w:rPr>
          <w:rFonts w:ascii="CMBX12" w:hAnsi="CMBX12" w:cs="CMBX12" w:hint="eastAsia"/>
          <w:kern w:val="0"/>
          <w:sz w:val="24"/>
        </w:rPr>
        <w:t>PCS</w:t>
      </w:r>
    </w:p>
    <w:p w:rsidR="00B41740" w:rsidRDefault="00B41740" w:rsidP="00387B36">
      <w:pPr>
        <w:widowControl/>
        <w:wordWrap/>
        <w:adjustRightInd w:val="0"/>
        <w:jc w:val="left"/>
        <w:rPr>
          <w:rFonts w:ascii="CMBX12" w:hAnsi="CMBX12" w:cs="CMBX12"/>
          <w:kern w:val="0"/>
          <w:sz w:val="24"/>
        </w:rPr>
      </w:pPr>
    </w:p>
    <w:p w:rsidR="00387B36" w:rsidRDefault="00387B36" w:rsidP="00B13560">
      <w:pPr>
        <w:widowControl/>
        <w:wordWrap/>
        <w:adjustRightInd w:val="0"/>
        <w:jc w:val="left"/>
        <w:rPr>
          <w:rFonts w:ascii="½Å¸íÁ¶" w:hAnsi="½Å¸íÁ¶"/>
          <w:b/>
          <w:bCs/>
          <w:sz w:val="28"/>
          <w:szCs w:val="28"/>
        </w:rPr>
      </w:pPr>
      <w:r>
        <w:rPr>
          <w:rFonts w:ascii="CMBX12" w:hAnsi="CMBX12" w:cs="CMBX12"/>
          <w:kern w:val="0"/>
          <w:sz w:val="24"/>
          <w:lang w:eastAsia="zh-CN"/>
        </w:rPr>
        <w:t xml:space="preserve">A longstanding mystery in understanding </w:t>
      </w:r>
      <w:proofErr w:type="spellStart"/>
      <w:r>
        <w:rPr>
          <w:rFonts w:ascii="CMBX12" w:hAnsi="CMBX12" w:cs="CMBX12"/>
          <w:kern w:val="0"/>
          <w:sz w:val="24"/>
          <w:lang w:eastAsia="zh-CN"/>
        </w:rPr>
        <w:t>cuprate</w:t>
      </w:r>
      <w:proofErr w:type="spellEnd"/>
      <w:r>
        <w:rPr>
          <w:rFonts w:ascii="CMBX12" w:hAnsi="CMBX12" w:cs="CMBX12"/>
          <w:kern w:val="0"/>
          <w:sz w:val="24"/>
          <w:lang w:eastAsia="zh-CN"/>
        </w:rPr>
        <w:t xml:space="preserve"> superconductors is the inconsistency between the experimental data measured by scanning tunneling</w:t>
      </w:r>
      <w:r>
        <w:rPr>
          <w:rFonts w:ascii="CMBX12" w:hAnsi="CMBX12" w:cs="CMBX12" w:hint="eastAsia"/>
          <w:kern w:val="0"/>
          <w:sz w:val="24"/>
        </w:rPr>
        <w:t xml:space="preserve"> </w:t>
      </w:r>
      <w:r>
        <w:rPr>
          <w:rFonts w:ascii="CMBX12" w:hAnsi="CMBX12" w:cs="CMBX12"/>
          <w:kern w:val="0"/>
          <w:sz w:val="24"/>
          <w:lang w:eastAsia="zh-CN"/>
        </w:rPr>
        <w:t>spectroscopy (STS) and angle-resolved photoemission spectroscopy (ARPES).</w:t>
      </w:r>
      <w:r>
        <w:rPr>
          <w:rFonts w:ascii="CMBX12" w:hAnsi="CMBX12" w:cs="CMBX12" w:hint="eastAsia"/>
          <w:kern w:val="0"/>
          <w:sz w:val="24"/>
        </w:rPr>
        <w:t xml:space="preserve"> </w:t>
      </w:r>
      <w:r>
        <w:rPr>
          <w:rFonts w:ascii="CMBX12" w:hAnsi="CMBX12" w:cs="CMBX12"/>
          <w:kern w:val="0"/>
          <w:sz w:val="24"/>
          <w:lang w:eastAsia="zh-CN"/>
        </w:rPr>
        <w:t>In particular, the gap between prominent side peaks observed in STS is much</w:t>
      </w:r>
      <w:r>
        <w:rPr>
          <w:rFonts w:ascii="CMBX12" w:hAnsi="CMBX12" w:cs="CMBX12" w:hint="eastAsia"/>
          <w:kern w:val="0"/>
          <w:sz w:val="24"/>
        </w:rPr>
        <w:t xml:space="preserve"> </w:t>
      </w:r>
      <w:r>
        <w:rPr>
          <w:rFonts w:ascii="CMBX12" w:hAnsi="CMBX12" w:cs="CMBX12"/>
          <w:kern w:val="0"/>
          <w:sz w:val="24"/>
          <w:lang w:eastAsia="zh-CN"/>
        </w:rPr>
        <w:t xml:space="preserve">bigger than the superconducting gap observed by ARPES measurements. </w:t>
      </w:r>
      <w:r w:rsidR="00B13560">
        <w:rPr>
          <w:rFonts w:ascii="CMBX12" w:hAnsi="CMBX12" w:cs="CMBX12" w:hint="eastAsia"/>
          <w:kern w:val="0"/>
          <w:sz w:val="24"/>
        </w:rPr>
        <w:t>Moreover, r</w:t>
      </w:r>
      <w:r w:rsidR="008719AF">
        <w:rPr>
          <w:rFonts w:ascii="CMBX12" w:hAnsi="CMBX12" w:cs="CMBX12" w:hint="eastAsia"/>
          <w:kern w:val="0"/>
          <w:sz w:val="24"/>
        </w:rPr>
        <w:t xml:space="preserve">ecent </w:t>
      </w:r>
      <w:proofErr w:type="spellStart"/>
      <w:r w:rsidR="008719AF">
        <w:rPr>
          <w:rFonts w:ascii="CMBX12" w:hAnsi="CMBX12" w:cs="CMBX12" w:hint="eastAsia"/>
          <w:kern w:val="0"/>
          <w:sz w:val="24"/>
        </w:rPr>
        <w:t>FeSe</w:t>
      </w:r>
      <w:proofErr w:type="spellEnd"/>
      <w:r w:rsidR="008719AF">
        <w:rPr>
          <w:rFonts w:ascii="CMBX12" w:hAnsi="CMBX12" w:cs="CMBX12" w:hint="eastAsia"/>
          <w:kern w:val="0"/>
          <w:sz w:val="24"/>
        </w:rPr>
        <w:t xml:space="preserve"> superconductor shows </w:t>
      </w:r>
      <w:r w:rsidR="00B13560">
        <w:rPr>
          <w:rFonts w:ascii="CMBX12" w:hAnsi="CMBX12" w:cs="CMBX12" w:hint="eastAsia"/>
          <w:kern w:val="0"/>
          <w:sz w:val="24"/>
        </w:rPr>
        <w:t xml:space="preserve">strange </w:t>
      </w:r>
      <w:r w:rsidR="008719AF">
        <w:rPr>
          <w:rFonts w:ascii="CMBX12" w:hAnsi="CMBX12" w:cs="CMBX12" w:hint="eastAsia"/>
          <w:kern w:val="0"/>
          <w:sz w:val="24"/>
        </w:rPr>
        <w:t>two</w:t>
      </w:r>
      <w:r w:rsidR="00B13560">
        <w:rPr>
          <w:rFonts w:ascii="CMBX12" w:hAnsi="CMBX12" w:cs="CMBX12" w:hint="eastAsia"/>
          <w:kern w:val="0"/>
          <w:sz w:val="24"/>
        </w:rPr>
        <w:t>-</w:t>
      </w:r>
      <w:r w:rsidR="008719AF">
        <w:rPr>
          <w:rFonts w:ascii="CMBX12" w:hAnsi="CMBX12" w:cs="CMBX12" w:hint="eastAsia"/>
          <w:kern w:val="0"/>
          <w:sz w:val="24"/>
        </w:rPr>
        <w:t>peak</w:t>
      </w:r>
      <w:r w:rsidR="00B13560">
        <w:rPr>
          <w:rFonts w:ascii="CMBX12" w:hAnsi="CMBX12" w:cs="CMBX12" w:hint="eastAsia"/>
          <w:kern w:val="0"/>
          <w:sz w:val="24"/>
        </w:rPr>
        <w:t xml:space="preserve"> </w:t>
      </w:r>
      <w:r w:rsidR="008719AF">
        <w:rPr>
          <w:rFonts w:ascii="CMBX12" w:hAnsi="CMBX12" w:cs="CMBX12" w:hint="eastAsia"/>
          <w:kern w:val="0"/>
          <w:sz w:val="24"/>
        </w:rPr>
        <w:t>s</w:t>
      </w:r>
      <w:r w:rsidR="00B13560">
        <w:rPr>
          <w:rFonts w:ascii="CMBX12" w:hAnsi="CMBX12" w:cs="CMBX12" w:hint="eastAsia"/>
          <w:kern w:val="0"/>
          <w:sz w:val="24"/>
        </w:rPr>
        <w:t>tructure</w:t>
      </w:r>
      <w:r w:rsidR="008719AF">
        <w:rPr>
          <w:rFonts w:ascii="CMBX12" w:hAnsi="CMBX12" w:cs="CMBX12" w:hint="eastAsia"/>
          <w:kern w:val="0"/>
          <w:sz w:val="24"/>
        </w:rPr>
        <w:t>. In this talk, I clarify the origin of two-peak (peak-shoulder) structure of tunneling conductance</w:t>
      </w:r>
      <w:r w:rsidR="00B13560">
        <w:rPr>
          <w:rFonts w:ascii="CMBX12" w:hAnsi="CMBX12" w:cs="CMBX12" w:hint="eastAsia"/>
          <w:kern w:val="0"/>
          <w:sz w:val="24"/>
        </w:rPr>
        <w:t xml:space="preserve"> in </w:t>
      </w:r>
      <w:proofErr w:type="spellStart"/>
      <w:r w:rsidR="00B13560">
        <w:rPr>
          <w:rFonts w:ascii="CMBX12" w:hAnsi="CMBX12" w:cs="CMBX12" w:hint="eastAsia"/>
          <w:kern w:val="0"/>
          <w:sz w:val="24"/>
        </w:rPr>
        <w:t>FeSe</w:t>
      </w:r>
      <w:proofErr w:type="spellEnd"/>
      <w:r w:rsidR="00B13560">
        <w:rPr>
          <w:rFonts w:ascii="CMBX12" w:hAnsi="CMBX12" w:cs="CMBX12" w:hint="eastAsia"/>
          <w:kern w:val="0"/>
          <w:sz w:val="24"/>
        </w:rPr>
        <w:t xml:space="preserve"> (</w:t>
      </w:r>
      <w:proofErr w:type="spellStart"/>
      <w:r w:rsidR="00B13560" w:rsidRPr="00B13560">
        <w:rPr>
          <w:rFonts w:ascii="CMBX12" w:hAnsi="CMBX12" w:cs="CMBX12"/>
          <w:kern w:val="0"/>
          <w:sz w:val="24"/>
        </w:rPr>
        <w:t>LiFeAs</w:t>
      </w:r>
      <w:proofErr w:type="spellEnd"/>
      <w:r w:rsidR="00B13560" w:rsidRPr="00B13560">
        <w:rPr>
          <w:rFonts w:ascii="CMBX12" w:hAnsi="CMBX12" w:cs="CMBX12"/>
          <w:kern w:val="0"/>
          <w:sz w:val="24"/>
        </w:rPr>
        <w:t>, Bi2212</w:t>
      </w:r>
      <w:r w:rsidR="00B13560">
        <w:rPr>
          <w:rFonts w:ascii="CMBX12" w:hAnsi="CMBX12" w:cs="CMBX12" w:hint="eastAsia"/>
          <w:kern w:val="0"/>
          <w:sz w:val="24"/>
        </w:rPr>
        <w:t>)</w:t>
      </w:r>
      <w:r w:rsidR="008719AF">
        <w:rPr>
          <w:rFonts w:ascii="CMBX12" w:hAnsi="CMBX12" w:cs="CMBX12" w:hint="eastAsia"/>
          <w:kern w:val="0"/>
          <w:sz w:val="24"/>
        </w:rPr>
        <w:t xml:space="preserve"> and </w:t>
      </w:r>
      <w:r>
        <w:rPr>
          <w:rFonts w:ascii="CMBX12" w:hAnsi="CMBX12" w:cs="CMBX12"/>
          <w:kern w:val="0"/>
          <w:sz w:val="24"/>
          <w:lang w:eastAsia="zh-CN"/>
        </w:rPr>
        <w:t xml:space="preserve">reconcile the </w:t>
      </w:r>
      <w:r w:rsidR="006C71DA">
        <w:rPr>
          <w:rFonts w:ascii="CMBX12" w:hAnsi="CMBX12" w:cs="CMBX12" w:hint="eastAsia"/>
          <w:kern w:val="0"/>
          <w:sz w:val="24"/>
        </w:rPr>
        <w:t xml:space="preserve">data measured by </w:t>
      </w:r>
      <w:r w:rsidR="008719AF">
        <w:rPr>
          <w:rFonts w:ascii="CMBX12" w:hAnsi="CMBX12" w:cs="CMBX12" w:hint="eastAsia"/>
          <w:kern w:val="0"/>
          <w:sz w:val="24"/>
        </w:rPr>
        <w:t xml:space="preserve">STS and ARPES </w:t>
      </w:r>
      <w:r>
        <w:rPr>
          <w:rFonts w:ascii="CMBX12" w:hAnsi="CMBX12" w:cs="CMBX12"/>
          <w:kern w:val="0"/>
          <w:sz w:val="24"/>
          <w:lang w:eastAsia="zh-CN"/>
        </w:rPr>
        <w:t>by generali</w:t>
      </w:r>
      <w:r>
        <w:rPr>
          <w:rFonts w:ascii="CMBX12" w:hAnsi="CMBX12" w:cs="CMBX12" w:hint="eastAsia"/>
          <w:kern w:val="0"/>
          <w:sz w:val="24"/>
        </w:rPr>
        <w:t>z</w:t>
      </w:r>
      <w:r>
        <w:rPr>
          <w:rFonts w:ascii="CMBX12" w:hAnsi="CMBX12" w:cs="CMBX12"/>
          <w:kern w:val="0"/>
          <w:sz w:val="24"/>
          <w:lang w:eastAsia="zh-CN"/>
        </w:rPr>
        <w:t>ing a theory which was</w:t>
      </w:r>
      <w:r>
        <w:rPr>
          <w:rFonts w:ascii="CMBX12" w:hAnsi="CMBX12" w:cs="CMBX12" w:hint="eastAsia"/>
          <w:kern w:val="0"/>
          <w:sz w:val="24"/>
        </w:rPr>
        <w:t xml:space="preserve"> </w:t>
      </w:r>
      <w:r>
        <w:rPr>
          <w:rFonts w:ascii="CMBX12" w:hAnsi="CMBX12" w:cs="CMBX12"/>
          <w:kern w:val="0"/>
          <w:sz w:val="24"/>
          <w:lang w:eastAsia="zh-CN"/>
        </w:rPr>
        <w:t>previously applied to zero-dimensional mesoscopic Kondo systems to strongly</w:t>
      </w:r>
      <w:r>
        <w:rPr>
          <w:rFonts w:ascii="CMBX12" w:hAnsi="CMBX12" w:cs="CMBX12" w:hint="eastAsia"/>
          <w:kern w:val="0"/>
          <w:sz w:val="24"/>
        </w:rPr>
        <w:t xml:space="preserve"> </w:t>
      </w:r>
      <w:r w:rsidR="006C71DA">
        <w:rPr>
          <w:rFonts w:ascii="CMBX12" w:hAnsi="CMBX12" w:cs="CMBX12"/>
          <w:kern w:val="0"/>
          <w:sz w:val="24"/>
          <w:lang w:eastAsia="zh-CN"/>
        </w:rPr>
        <w:t>correlated two-dimensional</w:t>
      </w:r>
      <w:r>
        <w:rPr>
          <w:rFonts w:ascii="CMBX12" w:hAnsi="CMBX12" w:cs="CMBX12"/>
          <w:kern w:val="0"/>
          <w:sz w:val="24"/>
          <w:lang w:eastAsia="zh-CN"/>
        </w:rPr>
        <w:t xml:space="preserve"> super</w:t>
      </w:r>
      <w:r w:rsidR="00B13560">
        <w:rPr>
          <w:rFonts w:ascii="CMBX12" w:hAnsi="CMBX12" w:cs="CMBX12" w:hint="eastAsia"/>
          <w:kern w:val="0"/>
          <w:sz w:val="24"/>
        </w:rPr>
        <w:t>-</w:t>
      </w:r>
      <w:r>
        <w:rPr>
          <w:rFonts w:ascii="CMBX12" w:hAnsi="CMBX12" w:cs="CMBX12"/>
          <w:kern w:val="0"/>
          <w:sz w:val="24"/>
          <w:lang w:eastAsia="zh-CN"/>
        </w:rPr>
        <w:t xml:space="preserve">conductors. </w:t>
      </w:r>
      <w:r w:rsidR="00B13560">
        <w:rPr>
          <w:rFonts w:ascii="CMBX12" w:hAnsi="CMBX12" w:cs="CMBX12" w:hint="eastAsia"/>
          <w:kern w:val="0"/>
          <w:sz w:val="24"/>
        </w:rPr>
        <w:t>I</w:t>
      </w:r>
      <w:r>
        <w:rPr>
          <w:rFonts w:ascii="CMBX12" w:hAnsi="CMBX12" w:cs="CMBX12"/>
          <w:kern w:val="0"/>
          <w:sz w:val="24"/>
          <w:lang w:eastAsia="zh-CN"/>
        </w:rPr>
        <w:t xml:space="preserve"> show that the </w:t>
      </w:r>
      <w:r w:rsidR="00B13560">
        <w:rPr>
          <w:rFonts w:ascii="CMBX12" w:hAnsi="CMBX12" w:cs="CMBX12" w:hint="eastAsia"/>
          <w:kern w:val="0"/>
          <w:sz w:val="24"/>
        </w:rPr>
        <w:t xml:space="preserve">prominent </w:t>
      </w:r>
      <w:r>
        <w:rPr>
          <w:rFonts w:ascii="CMBX12" w:hAnsi="CMBX12" w:cs="CMBX12"/>
          <w:kern w:val="0"/>
          <w:sz w:val="24"/>
          <w:lang w:eastAsia="zh-CN"/>
        </w:rPr>
        <w:t>side peaks observed</w:t>
      </w:r>
      <w:r>
        <w:rPr>
          <w:rFonts w:ascii="CMBX12" w:hAnsi="CMBX12" w:cs="CMBX12" w:hint="eastAsia"/>
          <w:kern w:val="0"/>
          <w:sz w:val="24"/>
        </w:rPr>
        <w:t xml:space="preserve"> </w:t>
      </w:r>
      <w:r>
        <w:rPr>
          <w:rFonts w:ascii="CMBX12" w:hAnsi="CMBX12" w:cs="CMBX12"/>
          <w:kern w:val="0"/>
          <w:sz w:val="24"/>
          <w:lang w:eastAsia="zh-CN"/>
        </w:rPr>
        <w:t>in tunneling conductance measurements in all these materials have a universal</w:t>
      </w:r>
      <w:r>
        <w:rPr>
          <w:rFonts w:ascii="CMBX12" w:hAnsi="CMBX12" w:cs="CMBX12" w:hint="eastAsia"/>
          <w:kern w:val="0"/>
          <w:sz w:val="24"/>
        </w:rPr>
        <w:t xml:space="preserve"> </w:t>
      </w:r>
      <w:r>
        <w:rPr>
          <w:rFonts w:ascii="CMBX12" w:hAnsi="CMBX12" w:cs="CMBX12"/>
          <w:kern w:val="0"/>
          <w:sz w:val="24"/>
          <w:lang w:eastAsia="zh-CN"/>
        </w:rPr>
        <w:t xml:space="preserve">origin: They are formed by coherence-mediated tunneling under bias. </w:t>
      </w:r>
      <w:r w:rsidR="00B13560">
        <w:rPr>
          <w:rFonts w:ascii="CMBX12" w:hAnsi="CMBX12" w:cs="CMBX12" w:hint="eastAsia"/>
          <w:kern w:val="0"/>
          <w:sz w:val="24"/>
        </w:rPr>
        <w:t xml:space="preserve">I show that </w:t>
      </w:r>
      <w:r>
        <w:rPr>
          <w:rFonts w:ascii="CMBX12" w:hAnsi="CMBX12" w:cs="CMBX12"/>
          <w:kern w:val="0"/>
          <w:sz w:val="24"/>
          <w:lang w:eastAsia="zh-CN"/>
        </w:rPr>
        <w:t>the density of states</w:t>
      </w:r>
      <w:r>
        <w:rPr>
          <w:rFonts w:ascii="CMBX12" w:hAnsi="CMBX12" w:cs="CMBX12" w:hint="eastAsia"/>
          <w:kern w:val="0"/>
          <w:sz w:val="24"/>
        </w:rPr>
        <w:t xml:space="preserve"> </w:t>
      </w:r>
      <w:r>
        <w:rPr>
          <w:rFonts w:ascii="CMBX12" w:hAnsi="CMBX12" w:cs="CMBX12"/>
          <w:kern w:val="0"/>
          <w:sz w:val="24"/>
          <w:lang w:eastAsia="zh-CN"/>
        </w:rPr>
        <w:t xml:space="preserve">(DOS) of the sample </w:t>
      </w:r>
      <w:r w:rsidR="00B13560">
        <w:rPr>
          <w:rFonts w:ascii="CMBX12" w:hAnsi="CMBX12" w:cs="CMBX12" w:hint="eastAsia"/>
          <w:kern w:val="0"/>
          <w:sz w:val="24"/>
        </w:rPr>
        <w:t xml:space="preserve">can be extracted from </w:t>
      </w:r>
      <w:r w:rsidR="006C71DA">
        <w:rPr>
          <w:rFonts w:ascii="CMBX12" w:hAnsi="CMBX12" w:cs="CMBX12" w:hint="eastAsia"/>
          <w:kern w:val="0"/>
          <w:sz w:val="24"/>
        </w:rPr>
        <w:t xml:space="preserve">the </w:t>
      </w:r>
      <w:r w:rsidR="00B13560">
        <w:rPr>
          <w:rFonts w:ascii="CMBX12" w:hAnsi="CMBX12" w:cs="CMBX12" w:hint="eastAsia"/>
          <w:kern w:val="0"/>
          <w:sz w:val="24"/>
        </w:rPr>
        <w:t xml:space="preserve">tunneling conductance data </w:t>
      </w:r>
      <w:r>
        <w:rPr>
          <w:rFonts w:ascii="CMBX12" w:hAnsi="CMBX12" w:cs="CMBX12"/>
          <w:kern w:val="0"/>
          <w:sz w:val="24"/>
          <w:lang w:eastAsia="zh-CN"/>
        </w:rPr>
        <w:t>and that the extracted DOS is consistent with the superconducting</w:t>
      </w:r>
      <w:r>
        <w:rPr>
          <w:rFonts w:ascii="CMBX12" w:hAnsi="CMBX12" w:cs="CMBX12" w:hint="eastAsia"/>
          <w:kern w:val="0"/>
          <w:sz w:val="24"/>
        </w:rPr>
        <w:t xml:space="preserve"> </w:t>
      </w:r>
      <w:r>
        <w:rPr>
          <w:rFonts w:ascii="CMBX12" w:hAnsi="CMBX12" w:cs="CMBX12"/>
          <w:kern w:val="0"/>
          <w:sz w:val="24"/>
          <w:lang w:eastAsia="zh-CN"/>
        </w:rPr>
        <w:t>gap measured by ARPES.</w:t>
      </w:r>
    </w:p>
    <w:p w:rsidR="00387B36" w:rsidRDefault="00387B36">
      <w:pPr>
        <w:jc w:val="center"/>
        <w:rPr>
          <w:rFonts w:ascii="½Å¸íÁ¶" w:hAnsi="½Å¸íÁ¶"/>
          <w:b/>
          <w:bCs/>
          <w:sz w:val="28"/>
          <w:szCs w:val="28"/>
        </w:rPr>
      </w:pPr>
    </w:p>
    <w:p w:rsidR="00387B36" w:rsidRDefault="00387B36">
      <w:pPr>
        <w:jc w:val="center"/>
        <w:rPr>
          <w:rFonts w:ascii="½Å¸íÁ¶" w:hAnsi="½Å¸íÁ¶"/>
          <w:b/>
          <w:bCs/>
          <w:sz w:val="28"/>
          <w:szCs w:val="28"/>
        </w:rPr>
      </w:pPr>
    </w:p>
    <w:p w:rsidR="00387B36" w:rsidRDefault="00387B36">
      <w:pPr>
        <w:jc w:val="center"/>
        <w:rPr>
          <w:rFonts w:ascii="½Å¸íÁ¶" w:hAnsi="½Å¸íÁ¶"/>
          <w:b/>
          <w:bCs/>
          <w:sz w:val="28"/>
          <w:szCs w:val="28"/>
        </w:rPr>
      </w:pPr>
    </w:p>
    <w:p w:rsidR="00387B36" w:rsidRDefault="00387B36">
      <w:pPr>
        <w:jc w:val="center"/>
        <w:rPr>
          <w:rFonts w:ascii="½Å¸íÁ¶" w:hAnsi="½Å¸íÁ¶"/>
          <w:b/>
          <w:bCs/>
          <w:sz w:val="28"/>
          <w:szCs w:val="28"/>
        </w:rPr>
      </w:pPr>
    </w:p>
    <w:p w:rsidR="00387B36" w:rsidRDefault="00387B36">
      <w:pPr>
        <w:jc w:val="center"/>
        <w:rPr>
          <w:rFonts w:ascii="½Å¸íÁ¶" w:hAnsi="½Å¸íÁ¶"/>
          <w:b/>
          <w:bCs/>
          <w:sz w:val="28"/>
          <w:szCs w:val="28"/>
        </w:rPr>
      </w:pPr>
    </w:p>
    <w:p w:rsidR="00387B36" w:rsidRDefault="00387B36">
      <w:pPr>
        <w:jc w:val="center"/>
        <w:rPr>
          <w:rFonts w:ascii="½Å¸íÁ¶" w:hAnsi="½Å¸íÁ¶"/>
          <w:b/>
          <w:bCs/>
          <w:sz w:val="28"/>
          <w:szCs w:val="28"/>
        </w:rPr>
      </w:pPr>
    </w:p>
    <w:p w:rsidR="00387B36" w:rsidRDefault="00387B36">
      <w:pPr>
        <w:jc w:val="center"/>
        <w:rPr>
          <w:rFonts w:ascii="½Å¸íÁ¶" w:hAnsi="½Å¸íÁ¶"/>
          <w:b/>
          <w:bCs/>
          <w:sz w:val="28"/>
          <w:szCs w:val="28"/>
        </w:rPr>
      </w:pPr>
    </w:p>
    <w:p w:rsidR="00387B36" w:rsidRDefault="00387B36">
      <w:pPr>
        <w:jc w:val="center"/>
        <w:rPr>
          <w:rFonts w:ascii="½Å¸íÁ¶" w:hAnsi="½Å¸íÁ¶"/>
          <w:b/>
          <w:bCs/>
          <w:sz w:val="28"/>
          <w:szCs w:val="28"/>
        </w:rPr>
      </w:pPr>
    </w:p>
    <w:p w:rsidR="00387B36" w:rsidRDefault="00387B36">
      <w:pPr>
        <w:jc w:val="center"/>
        <w:rPr>
          <w:rFonts w:ascii="½Å¸íÁ¶" w:hAnsi="½Å¸íÁ¶"/>
          <w:b/>
          <w:bCs/>
          <w:sz w:val="28"/>
          <w:szCs w:val="28"/>
        </w:rPr>
      </w:pPr>
    </w:p>
    <w:p w:rsidR="00387B36" w:rsidRDefault="00387B36">
      <w:pPr>
        <w:jc w:val="center"/>
        <w:rPr>
          <w:rFonts w:ascii="½Å¸íÁ¶" w:hAnsi="½Å¸íÁ¶"/>
          <w:b/>
          <w:bCs/>
          <w:sz w:val="28"/>
          <w:szCs w:val="28"/>
        </w:rPr>
      </w:pPr>
    </w:p>
    <w:p w:rsidR="00387B36" w:rsidRDefault="00387B36">
      <w:pPr>
        <w:jc w:val="center"/>
        <w:rPr>
          <w:rFonts w:ascii="½Å¸íÁ¶" w:hAnsi="½Å¸íÁ¶"/>
          <w:b/>
          <w:bCs/>
          <w:sz w:val="28"/>
          <w:szCs w:val="28"/>
        </w:rPr>
      </w:pPr>
    </w:p>
    <w:p w:rsidR="00387B36" w:rsidRDefault="00387B36">
      <w:pPr>
        <w:jc w:val="center"/>
        <w:rPr>
          <w:rFonts w:ascii="½Å¸íÁ¶" w:hAnsi="½Å¸íÁ¶"/>
          <w:b/>
          <w:bCs/>
          <w:sz w:val="28"/>
          <w:szCs w:val="28"/>
        </w:rPr>
      </w:pPr>
    </w:p>
    <w:p w:rsidR="00387B36" w:rsidRDefault="00387B36">
      <w:pPr>
        <w:jc w:val="center"/>
        <w:rPr>
          <w:rFonts w:ascii="½Å¸íÁ¶" w:hAnsi="½Å¸íÁ¶"/>
          <w:b/>
          <w:bCs/>
          <w:sz w:val="28"/>
          <w:szCs w:val="28"/>
        </w:rPr>
      </w:pPr>
    </w:p>
    <w:p w:rsidR="00387B36" w:rsidRDefault="00387B36">
      <w:pPr>
        <w:jc w:val="center"/>
        <w:rPr>
          <w:rFonts w:ascii="½Å¸íÁ¶" w:hAnsi="½Å¸íÁ¶"/>
          <w:b/>
          <w:bCs/>
          <w:sz w:val="28"/>
          <w:szCs w:val="28"/>
        </w:rPr>
      </w:pPr>
    </w:p>
    <w:p w:rsidR="008613EC" w:rsidRPr="009946B5" w:rsidRDefault="008613EC" w:rsidP="00D32AB1">
      <w:pPr>
        <w:wordWrap/>
        <w:rPr>
          <w:rFonts w:ascii="Times New Roman"/>
          <w:sz w:val="24"/>
        </w:rPr>
      </w:pPr>
    </w:p>
    <w:sectPr w:rsidR="008613EC" w:rsidRPr="009946B5" w:rsidSect="00633077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½Å¸íÁ¶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MBX12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4C61"/>
    <w:rsid w:val="0002059A"/>
    <w:rsid w:val="000A26F7"/>
    <w:rsid w:val="000B274D"/>
    <w:rsid w:val="000E0116"/>
    <w:rsid w:val="001020E0"/>
    <w:rsid w:val="001515EF"/>
    <w:rsid w:val="00167122"/>
    <w:rsid w:val="00180C12"/>
    <w:rsid w:val="0018696F"/>
    <w:rsid w:val="001A52DE"/>
    <w:rsid w:val="001F40D3"/>
    <w:rsid w:val="00200AF1"/>
    <w:rsid w:val="00206144"/>
    <w:rsid w:val="00234C61"/>
    <w:rsid w:val="00281F0E"/>
    <w:rsid w:val="00297DF0"/>
    <w:rsid w:val="002C04D6"/>
    <w:rsid w:val="002F30A2"/>
    <w:rsid w:val="0030212A"/>
    <w:rsid w:val="00331284"/>
    <w:rsid w:val="00341122"/>
    <w:rsid w:val="00387B36"/>
    <w:rsid w:val="00392568"/>
    <w:rsid w:val="00395E5B"/>
    <w:rsid w:val="00454298"/>
    <w:rsid w:val="00472920"/>
    <w:rsid w:val="004A69F2"/>
    <w:rsid w:val="005337D4"/>
    <w:rsid w:val="00550902"/>
    <w:rsid w:val="0058081D"/>
    <w:rsid w:val="005A0B58"/>
    <w:rsid w:val="005F2E2D"/>
    <w:rsid w:val="00606475"/>
    <w:rsid w:val="00633077"/>
    <w:rsid w:val="006A67C5"/>
    <w:rsid w:val="006C71DA"/>
    <w:rsid w:val="007143B5"/>
    <w:rsid w:val="00760DEE"/>
    <w:rsid w:val="00794D56"/>
    <w:rsid w:val="007B0977"/>
    <w:rsid w:val="007E14B3"/>
    <w:rsid w:val="00860965"/>
    <w:rsid w:val="008613EC"/>
    <w:rsid w:val="00863BED"/>
    <w:rsid w:val="0086545F"/>
    <w:rsid w:val="008719AF"/>
    <w:rsid w:val="00872B7D"/>
    <w:rsid w:val="00923DBE"/>
    <w:rsid w:val="00951ECA"/>
    <w:rsid w:val="00970A7C"/>
    <w:rsid w:val="00970FAC"/>
    <w:rsid w:val="009850AB"/>
    <w:rsid w:val="009946B5"/>
    <w:rsid w:val="009F0875"/>
    <w:rsid w:val="00B13560"/>
    <w:rsid w:val="00B27201"/>
    <w:rsid w:val="00B41740"/>
    <w:rsid w:val="00B709AF"/>
    <w:rsid w:val="00B77DB6"/>
    <w:rsid w:val="00BA3B1E"/>
    <w:rsid w:val="00C05AFA"/>
    <w:rsid w:val="00C0654C"/>
    <w:rsid w:val="00C1343D"/>
    <w:rsid w:val="00C1608F"/>
    <w:rsid w:val="00C22CB0"/>
    <w:rsid w:val="00C54CE5"/>
    <w:rsid w:val="00CB7CF6"/>
    <w:rsid w:val="00D32AB1"/>
    <w:rsid w:val="00D33C23"/>
    <w:rsid w:val="00D674BB"/>
    <w:rsid w:val="00D85802"/>
    <w:rsid w:val="00E7155F"/>
    <w:rsid w:val="00EC7350"/>
    <w:rsid w:val="00F37871"/>
    <w:rsid w:val="00F54E86"/>
    <w:rsid w:val="00F74DE4"/>
    <w:rsid w:val="00F855B3"/>
    <w:rsid w:val="00F9043A"/>
    <w:rsid w:val="00FE59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FB49325F-C0B8-4A96-90DE-0EFDC55E12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바탕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33077"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  <w:lang w:eastAsia="ko-KR"/>
    </w:rPr>
  </w:style>
  <w:style w:type="paragraph" w:styleId="1">
    <w:name w:val="heading 1"/>
    <w:basedOn w:val="a"/>
    <w:next w:val="a"/>
    <w:qFormat/>
    <w:rsid w:val="00633077"/>
    <w:pPr>
      <w:keepNext/>
      <w:outlineLvl w:val="0"/>
    </w:pPr>
    <w:rPr>
      <w:rFonts w:ascii="Times New Roman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633077"/>
    <w:rPr>
      <w:color w:val="0000FF"/>
      <w:u w:val="single"/>
    </w:rPr>
  </w:style>
  <w:style w:type="paragraph" w:styleId="a4">
    <w:name w:val="Normal (Web)"/>
    <w:basedOn w:val="a"/>
    <w:uiPriority w:val="99"/>
    <w:rsid w:val="009946B5"/>
    <w:pPr>
      <w:widowControl/>
      <w:wordWrap/>
      <w:autoSpaceDE/>
      <w:autoSpaceDN/>
      <w:spacing w:before="100" w:beforeAutospacing="1" w:after="100" w:afterAutospacing="1"/>
      <w:jc w:val="left"/>
    </w:pPr>
    <w:rPr>
      <w:rFonts w:ascii="굴림" w:eastAsia="굴림" w:hAnsi="굴림" w:cs="굴림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047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2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37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1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84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194</Words>
  <Characters>1112</Characters>
  <Application>Microsoft Office Word</Application>
  <DocSecurity>0</DocSecurity>
  <Lines>9</Lines>
  <Paragraphs>2</Paragraphs>
  <ScaleCrop>false</ScaleCrop>
  <HeadingPairs>
    <vt:vector size="4" baseType="variant">
      <vt:variant>
        <vt:lpstr>제목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CURRICULUM VITAE</vt:lpstr>
      <vt:lpstr>CURRICULUM VITAE</vt:lpstr>
    </vt:vector>
  </TitlesOfParts>
  <Company/>
  <LinksUpToDate>false</LinksUpToDate>
  <CharactersWithSpaces>1304</CharactersWithSpaces>
  <SharedDoc>false</SharedDoc>
  <HLinks>
    <vt:vector size="6" baseType="variant">
      <vt:variant>
        <vt:i4>1048673</vt:i4>
      </vt:variant>
      <vt:variant>
        <vt:i4>0</vt:i4>
      </vt:variant>
      <vt:variant>
        <vt:i4>0</vt:i4>
      </vt:variant>
      <vt:variant>
        <vt:i4>5</vt:i4>
      </vt:variant>
      <vt:variant>
        <vt:lpwstr>mailto:jbhong@postech.ac.kr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CURRICULUM VITAE</dc:title>
  <dc:creator>홍종배</dc:creator>
  <cp:lastModifiedBy>Sim Ji Kwak</cp:lastModifiedBy>
  <cp:revision>2</cp:revision>
  <cp:lastPrinted>2011-09-05T07:00:00Z</cp:lastPrinted>
  <dcterms:created xsi:type="dcterms:W3CDTF">2016-06-13T09:07:00Z</dcterms:created>
  <dcterms:modified xsi:type="dcterms:W3CDTF">2016-06-13T09:07:00Z</dcterms:modified>
</cp:coreProperties>
</file>